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AB50" w14:textId="77777777" w:rsidR="00DC03D3" w:rsidRDefault="00E76CFD">
      <w:pPr>
        <w:pStyle w:val="Body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0BB9A26E" wp14:editId="289B9E09">
            <wp:simplePos x="0" y="0"/>
            <wp:positionH relativeFrom="margin">
              <wp:posOffset>-5715</wp:posOffset>
            </wp:positionH>
            <wp:positionV relativeFrom="page">
              <wp:posOffset>614763</wp:posOffset>
            </wp:positionV>
            <wp:extent cx="2140585" cy="885190"/>
            <wp:effectExtent l="0" t="0" r="5715" b="0"/>
            <wp:wrapThrough wrapText="bothSides" distL="152400" distR="152400">
              <wp:wrapPolygon edited="1">
                <wp:start x="9574" y="141"/>
                <wp:lineTo x="10158" y="565"/>
                <wp:lineTo x="10450" y="988"/>
                <wp:lineTo x="10858" y="1271"/>
                <wp:lineTo x="11442" y="2682"/>
                <wp:lineTo x="11968" y="2824"/>
                <wp:lineTo x="12435" y="4235"/>
                <wp:lineTo x="13369" y="2824"/>
                <wp:lineTo x="13836" y="3106"/>
                <wp:lineTo x="14361" y="4235"/>
                <wp:lineTo x="14361" y="5224"/>
                <wp:lineTo x="14828" y="5647"/>
                <wp:lineTo x="15003" y="6494"/>
                <wp:lineTo x="15645" y="6918"/>
                <wp:lineTo x="16463" y="8753"/>
                <wp:lineTo x="17105" y="9176"/>
                <wp:lineTo x="17397" y="10165"/>
                <wp:lineTo x="18272" y="10871"/>
                <wp:lineTo x="18623" y="11576"/>
                <wp:lineTo x="18739" y="12141"/>
                <wp:lineTo x="19965" y="14400"/>
                <wp:lineTo x="21600" y="17788"/>
                <wp:lineTo x="21191" y="19059"/>
                <wp:lineTo x="20024" y="19624"/>
                <wp:lineTo x="18623" y="19765"/>
                <wp:lineTo x="17981" y="19624"/>
                <wp:lineTo x="17105" y="19482"/>
                <wp:lineTo x="16346" y="17929"/>
                <wp:lineTo x="15354" y="19624"/>
                <wp:lineTo x="14711" y="19200"/>
                <wp:lineTo x="14128" y="19906"/>
                <wp:lineTo x="13194" y="18918"/>
                <wp:lineTo x="12726" y="19624"/>
                <wp:lineTo x="12668" y="16941"/>
                <wp:lineTo x="12376" y="16941"/>
                <wp:lineTo x="12376" y="15812"/>
                <wp:lineTo x="12026" y="15812"/>
                <wp:lineTo x="11676" y="12565"/>
                <wp:lineTo x="10625" y="9035"/>
                <wp:lineTo x="10158" y="8188"/>
                <wp:lineTo x="10041" y="5788"/>
                <wp:lineTo x="9924" y="3247"/>
                <wp:lineTo x="9749" y="3247"/>
                <wp:lineTo x="9632" y="5929"/>
                <wp:lineTo x="9341" y="8471"/>
                <wp:lineTo x="9282" y="8613"/>
                <wp:lineTo x="9282" y="12847"/>
                <wp:lineTo x="9516" y="12847"/>
                <wp:lineTo x="9516" y="14118"/>
                <wp:lineTo x="10099" y="14118"/>
                <wp:lineTo x="10099" y="14682"/>
                <wp:lineTo x="9516" y="14682"/>
                <wp:lineTo x="9516" y="17929"/>
                <wp:lineTo x="9282" y="17929"/>
                <wp:lineTo x="9282" y="14682"/>
                <wp:lineTo x="8757" y="14682"/>
                <wp:lineTo x="8757" y="14118"/>
                <wp:lineTo x="9282" y="14118"/>
                <wp:lineTo x="9282" y="12847"/>
                <wp:lineTo x="9282" y="8613"/>
                <wp:lineTo x="8231" y="11153"/>
                <wp:lineTo x="7531" y="14682"/>
                <wp:lineTo x="7472" y="15671"/>
                <wp:lineTo x="7122" y="15671"/>
                <wp:lineTo x="7122" y="16800"/>
                <wp:lineTo x="6830" y="16800"/>
                <wp:lineTo x="6714" y="18494"/>
                <wp:lineTo x="6013" y="17224"/>
                <wp:lineTo x="5371" y="18494"/>
                <wp:lineTo x="4729" y="18071"/>
                <wp:lineTo x="4203" y="16941"/>
                <wp:lineTo x="4086" y="16518"/>
                <wp:lineTo x="3503" y="17788"/>
                <wp:lineTo x="2919" y="17788"/>
                <wp:lineTo x="2160" y="19341"/>
                <wp:lineTo x="1926" y="18776"/>
                <wp:lineTo x="1343" y="19200"/>
                <wp:lineTo x="934" y="19624"/>
                <wp:lineTo x="117" y="18776"/>
                <wp:lineTo x="117" y="17506"/>
                <wp:lineTo x="5838" y="3529"/>
                <wp:lineTo x="6480" y="3953"/>
                <wp:lineTo x="6889" y="4659"/>
                <wp:lineTo x="7472" y="4376"/>
                <wp:lineTo x="9341" y="424"/>
                <wp:lineTo x="9574" y="141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885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FE02DE" w14:textId="77777777" w:rsidR="00DC03D3" w:rsidRDefault="00DC03D3">
      <w:pPr>
        <w:pStyle w:val="Body"/>
        <w:widowControl w:val="0"/>
        <w:rPr>
          <w:rFonts w:ascii="Times New Roman" w:hAnsi="Times New Roman"/>
          <w:sz w:val="22"/>
          <w:szCs w:val="22"/>
        </w:rPr>
      </w:pPr>
    </w:p>
    <w:p w14:paraId="1FC0BA38" w14:textId="77777777" w:rsidR="00DC03D3" w:rsidRDefault="00DC03D3">
      <w:pPr>
        <w:pStyle w:val="Body"/>
        <w:widowControl w:val="0"/>
        <w:rPr>
          <w:rFonts w:ascii="Times New Roman" w:hAnsi="Times New Roman"/>
          <w:sz w:val="22"/>
          <w:szCs w:val="22"/>
        </w:rPr>
      </w:pPr>
    </w:p>
    <w:p w14:paraId="4BAD6A82" w14:textId="77777777" w:rsidR="00A253AA" w:rsidRDefault="00A253AA">
      <w:pPr>
        <w:pStyle w:val="Body"/>
        <w:widowControl w:val="0"/>
        <w:spacing w:before="102" w:line="242" w:lineRule="exact"/>
        <w:rPr>
          <w:b/>
          <w:bCs/>
          <w:color w:val="154367"/>
          <w:position w:val="6"/>
          <w:sz w:val="20"/>
          <w:szCs w:val="20"/>
          <w:u w:color="154367"/>
        </w:rPr>
      </w:pPr>
    </w:p>
    <w:p w14:paraId="085632D1" w14:textId="77777777" w:rsidR="00A253AA" w:rsidRDefault="00A253AA">
      <w:pPr>
        <w:pStyle w:val="Body"/>
        <w:widowControl w:val="0"/>
        <w:spacing w:before="102" w:line="242" w:lineRule="exact"/>
        <w:rPr>
          <w:b/>
          <w:bCs/>
          <w:color w:val="154367"/>
          <w:position w:val="6"/>
          <w:sz w:val="20"/>
          <w:szCs w:val="20"/>
          <w:u w:color="154367"/>
        </w:rPr>
      </w:pPr>
    </w:p>
    <w:p w14:paraId="1336B432" w14:textId="2DB809A1" w:rsidR="00DC03D3" w:rsidRDefault="00E76CFD">
      <w:pPr>
        <w:pStyle w:val="Body"/>
        <w:widowControl w:val="0"/>
        <w:spacing w:before="102" w:line="242" w:lineRule="exact"/>
        <w:rPr>
          <w:rFonts w:eastAsia="Calibri" w:cs="Calibri"/>
          <w:b/>
          <w:bCs/>
          <w:position w:val="6"/>
          <w:sz w:val="20"/>
          <w:szCs w:val="20"/>
        </w:rPr>
      </w:pPr>
      <w:r>
        <w:rPr>
          <w:b/>
          <w:bCs/>
          <w:color w:val="154367"/>
          <w:position w:val="6"/>
          <w:sz w:val="20"/>
          <w:szCs w:val="20"/>
          <w:u w:color="154367"/>
        </w:rPr>
        <w:t>CONFERENCIA CAT</w:t>
      </w:r>
      <w:proofErr w:type="spellStart"/>
      <w:r>
        <w:rPr>
          <w:b/>
          <w:bCs/>
          <w:color w:val="154367"/>
          <w:position w:val="6"/>
          <w:sz w:val="20"/>
          <w:szCs w:val="20"/>
          <w:u w:color="154367"/>
          <w:lang w:val="es-ES_tradnl"/>
        </w:rPr>
        <w:t>Ó</w:t>
      </w:r>
      <w:proofErr w:type="spellEnd"/>
      <w:r>
        <w:rPr>
          <w:b/>
          <w:bCs/>
          <w:color w:val="154367"/>
          <w:position w:val="6"/>
          <w:sz w:val="20"/>
          <w:szCs w:val="20"/>
          <w:u w:color="154367"/>
        </w:rPr>
        <w:t>LICA DE COLO</w:t>
      </w:r>
      <w:r w:rsidR="00A253AA">
        <w:rPr>
          <w:b/>
          <w:bCs/>
          <w:color w:val="154367"/>
          <w:position w:val="6"/>
          <w:sz w:val="20"/>
          <w:szCs w:val="20"/>
          <w:u w:color="154367"/>
        </w:rPr>
        <w:softHyphen/>
      </w:r>
      <w:r>
        <w:rPr>
          <w:b/>
          <w:bCs/>
          <w:color w:val="154367"/>
          <w:position w:val="6"/>
          <w:sz w:val="20"/>
          <w:szCs w:val="20"/>
          <w:u w:color="154367"/>
        </w:rPr>
        <w:t>RADO</w:t>
      </w:r>
    </w:p>
    <w:p w14:paraId="34AB8C20" w14:textId="77777777" w:rsidR="00DC03D3" w:rsidRDefault="00E76CFD">
      <w:pPr>
        <w:pStyle w:val="Body"/>
        <w:widowControl w:val="0"/>
        <w:rPr>
          <w:sz w:val="19"/>
          <w:szCs w:val="19"/>
        </w:rPr>
      </w:pPr>
      <w:r>
        <w:rPr>
          <w:sz w:val="19"/>
          <w:szCs w:val="19"/>
        </w:rPr>
        <w:t>1535 Logan Street | Denver, CO  80203-1913</w:t>
      </w:r>
    </w:p>
    <w:p w14:paraId="342B76AD" w14:textId="77777777" w:rsidR="00DC03D3" w:rsidRDefault="00E76CFD">
      <w:pPr>
        <w:pStyle w:val="Body"/>
        <w:widowControl w:val="0"/>
        <w:rPr>
          <w:rFonts w:ascii="Century Gothic" w:eastAsia="Century Gothic" w:hAnsi="Century Gothic" w:cs="Century Gothic"/>
          <w:sz w:val="17"/>
          <w:szCs w:val="17"/>
        </w:rPr>
      </w:pPr>
      <w:r>
        <w:rPr>
          <w:sz w:val="19"/>
          <w:szCs w:val="19"/>
          <w:lang w:val="it-IT"/>
        </w:rPr>
        <w:t>303-894-8808 | cocatholicconference.org</w:t>
      </w:r>
    </w:p>
    <w:p w14:paraId="02749688" w14:textId="77777777" w:rsidR="00DC03D3" w:rsidRDefault="00DC03D3">
      <w:pPr>
        <w:pStyle w:val="Default"/>
      </w:pPr>
    </w:p>
    <w:p w14:paraId="4DBF7E0D" w14:textId="77777777" w:rsidR="00DC03D3" w:rsidRDefault="00DC03D3">
      <w:pPr>
        <w:pStyle w:val="Default"/>
        <w:rPr>
          <w:rStyle w:val="PageNumber"/>
          <w:sz w:val="10"/>
          <w:szCs w:val="10"/>
        </w:rPr>
      </w:pPr>
    </w:p>
    <w:p w14:paraId="46539DBA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Style w:val="PageNumber"/>
          <w:rFonts w:eastAsia="Arial Unicode MS" w:cs="Arial Unicode MS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00"/>
        </w:rPr>
        <w:t>[Fecha]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10D6D3B9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18"/>
          <w:szCs w:val="18"/>
        </w:rPr>
      </w:pPr>
    </w:p>
    <w:p w14:paraId="1C8509F2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15"/>
          <w:szCs w:val="15"/>
        </w:rPr>
      </w:pPr>
    </w:p>
    <w:p w14:paraId="36DB430F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 quien corresponda:</w:t>
      </w:r>
    </w:p>
    <w:p w14:paraId="14A86E7E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1CA39BA9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00"/>
        </w:rPr>
        <w:t>[Nombre]</w:t>
      </w:r>
      <w:r>
        <w:rPr>
          <w:rFonts w:ascii="Times New Roman" w:hAnsi="Times New Roman"/>
          <w:sz w:val="23"/>
          <w:szCs w:val="23"/>
        </w:rPr>
        <w:t xml:space="preserve"> es 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 bautizado que solicita una exenci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n religiosa de un requisito de </w:t>
      </w:r>
      <w:r>
        <w:rPr>
          <w:rFonts w:ascii="Times New Roman" w:hAnsi="Times New Roman"/>
          <w:sz w:val="23"/>
          <w:szCs w:val="23"/>
        </w:rPr>
        <w:t>vacunaci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n. Esta carta explica c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mo las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anzas de la Iglesia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lica pueden llevar a los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licos, incluyendo a </w:t>
      </w:r>
      <w:r>
        <w:rPr>
          <w:rFonts w:ascii="Times New Roman" w:hAnsi="Times New Roman"/>
          <w:sz w:val="23"/>
          <w:szCs w:val="23"/>
          <w:shd w:val="clear" w:color="auto" w:fill="FFFF00"/>
        </w:rPr>
        <w:t>[nombre]</w:t>
      </w:r>
      <w:r>
        <w:rPr>
          <w:rFonts w:ascii="Times New Roman" w:hAnsi="Times New Roman"/>
          <w:sz w:val="23"/>
          <w:szCs w:val="23"/>
        </w:rPr>
        <w:t xml:space="preserve">, a rechazar ciertas vacunas. </w:t>
      </w:r>
    </w:p>
    <w:p w14:paraId="4B976B99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0B07B82F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Iglesia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lica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 que una persona se puede ver obligada a rechazar una intervenci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m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dic</w:t>
      </w:r>
      <w:r>
        <w:rPr>
          <w:rFonts w:ascii="Times New Roman" w:hAnsi="Times New Roman"/>
          <w:sz w:val="23"/>
          <w:szCs w:val="23"/>
        </w:rPr>
        <w:t>a, incluida la vacunaci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n, si su conciencia llega a este juicio. Aunque la Iglesia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lica no proh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be el uso de la mayor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a de las vacunas, y generalmente las alienta para salvaguardar la salud personal y p</w:t>
      </w:r>
      <w:r>
        <w:rPr>
          <w:rFonts w:ascii="Times New Roman" w:hAnsi="Times New Roman"/>
          <w:sz w:val="23"/>
          <w:szCs w:val="23"/>
        </w:rPr>
        <w:t>ú</w:t>
      </w:r>
      <w:r>
        <w:rPr>
          <w:rFonts w:ascii="Times New Roman" w:hAnsi="Times New Roman"/>
          <w:sz w:val="23"/>
          <w:szCs w:val="23"/>
        </w:rPr>
        <w:t>blica, las siguientes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 xml:space="preserve">anzas </w:t>
      </w:r>
      <w:r>
        <w:rPr>
          <w:rFonts w:ascii="Times New Roman" w:hAnsi="Times New Roman"/>
          <w:sz w:val="23"/>
          <w:szCs w:val="23"/>
        </w:rPr>
        <w:t>autorizadas de la Iglesia demuestran la base religiosa de principios a partir de la cual 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lico puede determinar que debe rechazar ciertas vacunas: </w:t>
      </w:r>
    </w:p>
    <w:p w14:paraId="42319042" w14:textId="77777777" w:rsidR="00DC03D3" w:rsidRDefault="00DC03D3">
      <w:pPr>
        <w:pStyle w:val="Default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277FBC3" w14:textId="77777777" w:rsidR="00DC03D3" w:rsidRDefault="00E76CFD">
      <w:pPr>
        <w:pStyle w:val="Default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Style w:val="PageNumber"/>
          <w:rFonts w:ascii="Times New Roman" w:hAnsi="Times New Roman"/>
          <w:sz w:val="23"/>
          <w:szCs w:val="23"/>
        </w:rPr>
        <w:t>En principio, la vacunaci</w:t>
      </w:r>
      <w:r>
        <w:rPr>
          <w:rStyle w:val="PageNumber"/>
          <w:rFonts w:ascii="Times New Roman" w:hAnsi="Times New Roman"/>
          <w:sz w:val="23"/>
          <w:szCs w:val="23"/>
        </w:rPr>
        <w:t>ó</w:t>
      </w:r>
      <w:r>
        <w:rPr>
          <w:rStyle w:val="PageNumber"/>
          <w:rFonts w:ascii="Times New Roman" w:hAnsi="Times New Roman"/>
          <w:sz w:val="23"/>
          <w:szCs w:val="23"/>
        </w:rPr>
        <w:t>n no es moralmente obligatoria, por lo que debe ser voluntaria.</w:t>
      </w:r>
      <w:r>
        <w:rPr>
          <w:rStyle w:val="FootnoteReference"/>
          <w:rFonts w:ascii="Times New Roman" w:eastAsia="Times New Roman" w:hAnsi="Times New Roman" w:cs="Times New Roman"/>
          <w:sz w:val="23"/>
          <w:szCs w:val="23"/>
        </w:rPr>
        <w:footnoteReference w:id="2"/>
      </w:r>
    </w:p>
    <w:p w14:paraId="50021BC4" w14:textId="77777777" w:rsidR="00DC03D3" w:rsidRDefault="00E76CFD">
      <w:pPr>
        <w:pStyle w:val="Default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Style w:val="PageNumber"/>
          <w:rFonts w:ascii="Times New Roman" w:hAnsi="Times New Roman"/>
          <w:sz w:val="23"/>
          <w:szCs w:val="23"/>
        </w:rPr>
        <w:t>Existe el</w:t>
      </w:r>
      <w:r>
        <w:rPr>
          <w:rStyle w:val="PageNumber"/>
          <w:rFonts w:ascii="Times New Roman" w:hAnsi="Times New Roman"/>
          <w:sz w:val="23"/>
          <w:szCs w:val="23"/>
        </w:rPr>
        <w:t xml:space="preserve"> deber moral de rechazar el uso de productos m</w:t>
      </w:r>
      <w:r>
        <w:rPr>
          <w:rStyle w:val="PageNumber"/>
          <w:rFonts w:ascii="Times New Roman" w:hAnsi="Times New Roman"/>
          <w:sz w:val="23"/>
          <w:szCs w:val="23"/>
        </w:rPr>
        <w:t>é</w:t>
      </w:r>
      <w:r>
        <w:rPr>
          <w:rStyle w:val="PageNumber"/>
          <w:rFonts w:ascii="Times New Roman" w:hAnsi="Times New Roman"/>
          <w:sz w:val="23"/>
          <w:szCs w:val="23"/>
        </w:rPr>
        <w:t>dicos, incluidas ciertas vacunas, que se crean utilizando l</w:t>
      </w:r>
      <w:r>
        <w:rPr>
          <w:rStyle w:val="PageNumber"/>
          <w:rFonts w:ascii="Times New Roman" w:hAnsi="Times New Roman"/>
          <w:sz w:val="23"/>
          <w:szCs w:val="23"/>
        </w:rPr>
        <w:t>í</w:t>
      </w:r>
      <w:r>
        <w:rPr>
          <w:rStyle w:val="PageNumber"/>
          <w:rFonts w:ascii="Times New Roman" w:hAnsi="Times New Roman"/>
          <w:sz w:val="23"/>
          <w:szCs w:val="23"/>
        </w:rPr>
        <w:t>neas de c</w:t>
      </w:r>
      <w:r>
        <w:rPr>
          <w:rStyle w:val="PageNumber"/>
          <w:rFonts w:ascii="Times New Roman" w:hAnsi="Times New Roman"/>
          <w:sz w:val="23"/>
          <w:szCs w:val="23"/>
        </w:rPr>
        <w:t>é</w:t>
      </w:r>
      <w:r>
        <w:rPr>
          <w:rStyle w:val="PageNumber"/>
          <w:rFonts w:ascii="Times New Roman" w:hAnsi="Times New Roman"/>
          <w:sz w:val="23"/>
          <w:szCs w:val="23"/>
        </w:rPr>
        <w:t>lulas humanas derivadas del aborto; sin embargo, solo se puede utilizar este tipo de vacunas en condiciones espec</w:t>
      </w:r>
      <w:r>
        <w:rPr>
          <w:rStyle w:val="PageNumber"/>
          <w:rFonts w:ascii="Times New Roman" w:hAnsi="Times New Roman"/>
          <w:sz w:val="23"/>
          <w:szCs w:val="23"/>
        </w:rPr>
        <w:t>í</w:t>
      </w:r>
      <w:r>
        <w:rPr>
          <w:rStyle w:val="PageNumber"/>
          <w:rFonts w:ascii="Times New Roman" w:hAnsi="Times New Roman"/>
          <w:sz w:val="23"/>
          <w:szCs w:val="23"/>
        </w:rPr>
        <w:t>ficas: si no hay otras al</w:t>
      </w:r>
      <w:r>
        <w:rPr>
          <w:rStyle w:val="PageNumber"/>
          <w:rFonts w:ascii="Times New Roman" w:hAnsi="Times New Roman"/>
          <w:sz w:val="23"/>
          <w:szCs w:val="23"/>
        </w:rPr>
        <w:t>ternativas disponibles y si se hace con la intenci</w:t>
      </w:r>
      <w:r>
        <w:rPr>
          <w:rStyle w:val="PageNumber"/>
          <w:rFonts w:ascii="Times New Roman" w:hAnsi="Times New Roman"/>
          <w:sz w:val="23"/>
          <w:szCs w:val="23"/>
        </w:rPr>
        <w:t>ó</w:t>
      </w:r>
      <w:r>
        <w:rPr>
          <w:rStyle w:val="PageNumber"/>
          <w:rFonts w:ascii="Times New Roman" w:hAnsi="Times New Roman"/>
          <w:sz w:val="23"/>
          <w:szCs w:val="23"/>
        </w:rPr>
        <w:t>n de preservar la vida.</w:t>
      </w:r>
      <w:r>
        <w:rPr>
          <w:rStyle w:val="FootnoteReference"/>
          <w:rFonts w:ascii="Times New Roman" w:eastAsia="Times New Roman" w:hAnsi="Times New Roman" w:cs="Times New Roman"/>
          <w:sz w:val="23"/>
          <w:szCs w:val="23"/>
        </w:rPr>
        <w:footnoteReference w:id="3"/>
      </w:r>
      <w:r>
        <w:rPr>
          <w:rStyle w:val="PageNumber"/>
          <w:rFonts w:ascii="Times New Roman" w:hAnsi="Times New Roman"/>
          <w:sz w:val="23"/>
          <w:szCs w:val="23"/>
        </w:rPr>
        <w:t xml:space="preserve"> </w:t>
      </w:r>
    </w:p>
    <w:p w14:paraId="7BF00352" w14:textId="77777777" w:rsidR="00DC03D3" w:rsidRDefault="00E76CFD">
      <w:pPr>
        <w:pStyle w:val="Default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Style w:val="PageNumber"/>
          <w:rFonts w:ascii="Times New Roman" w:hAnsi="Times New Roman"/>
          <w:sz w:val="23"/>
          <w:szCs w:val="23"/>
        </w:rPr>
        <w:t>La evaluaci</w:t>
      </w:r>
      <w:r>
        <w:rPr>
          <w:rStyle w:val="PageNumber"/>
          <w:rFonts w:ascii="Times New Roman" w:hAnsi="Times New Roman"/>
          <w:sz w:val="23"/>
          <w:szCs w:val="23"/>
        </w:rPr>
        <w:t>ó</w:t>
      </w:r>
      <w:r>
        <w:rPr>
          <w:rStyle w:val="PageNumber"/>
          <w:rFonts w:ascii="Times New Roman" w:hAnsi="Times New Roman"/>
          <w:sz w:val="23"/>
          <w:szCs w:val="23"/>
        </w:rPr>
        <w:t>n de una persona sobre si los beneficios de una intervenci</w:t>
      </w:r>
      <w:r>
        <w:rPr>
          <w:rStyle w:val="PageNumber"/>
          <w:rFonts w:ascii="Times New Roman" w:hAnsi="Times New Roman"/>
          <w:sz w:val="23"/>
          <w:szCs w:val="23"/>
        </w:rPr>
        <w:t>ó</w:t>
      </w:r>
      <w:r>
        <w:rPr>
          <w:rStyle w:val="PageNumber"/>
          <w:rFonts w:ascii="Times New Roman" w:hAnsi="Times New Roman"/>
          <w:sz w:val="23"/>
          <w:szCs w:val="23"/>
        </w:rPr>
        <w:t>n m</w:t>
      </w:r>
      <w:r>
        <w:rPr>
          <w:rStyle w:val="PageNumber"/>
          <w:rFonts w:ascii="Times New Roman" w:hAnsi="Times New Roman"/>
          <w:sz w:val="23"/>
          <w:szCs w:val="23"/>
        </w:rPr>
        <w:t>é</w:t>
      </w:r>
      <w:r>
        <w:rPr>
          <w:rStyle w:val="PageNumber"/>
          <w:rFonts w:ascii="Times New Roman" w:hAnsi="Times New Roman"/>
          <w:sz w:val="23"/>
          <w:szCs w:val="23"/>
        </w:rPr>
        <w:t>dica superan los efectos secundarios indeseables debe respetarse, a menos que contradiga las ense</w:t>
      </w:r>
      <w:r>
        <w:rPr>
          <w:rStyle w:val="PageNumber"/>
          <w:rFonts w:ascii="Times New Roman" w:hAnsi="Times New Roman"/>
          <w:sz w:val="23"/>
          <w:szCs w:val="23"/>
        </w:rPr>
        <w:t>ñ</w:t>
      </w:r>
      <w:r>
        <w:rPr>
          <w:rStyle w:val="PageNumber"/>
          <w:rFonts w:ascii="Times New Roman" w:hAnsi="Times New Roman"/>
          <w:sz w:val="23"/>
          <w:szCs w:val="23"/>
        </w:rPr>
        <w:t>anzas</w:t>
      </w:r>
      <w:r>
        <w:rPr>
          <w:rStyle w:val="PageNumber"/>
          <w:rFonts w:ascii="Times New Roman" w:hAnsi="Times New Roman"/>
          <w:sz w:val="23"/>
          <w:szCs w:val="23"/>
        </w:rPr>
        <w:t xml:space="preserve"> morales cat</w:t>
      </w:r>
      <w:r>
        <w:rPr>
          <w:rStyle w:val="PageNumber"/>
          <w:rFonts w:ascii="Times New Roman" w:hAnsi="Times New Roman"/>
          <w:sz w:val="23"/>
          <w:szCs w:val="23"/>
        </w:rPr>
        <w:t>ó</w:t>
      </w:r>
      <w:r>
        <w:rPr>
          <w:rStyle w:val="PageNumber"/>
          <w:rFonts w:ascii="Times New Roman" w:hAnsi="Times New Roman"/>
          <w:sz w:val="23"/>
          <w:szCs w:val="23"/>
        </w:rPr>
        <w:t>licas autorizadas.</w:t>
      </w:r>
      <w:r>
        <w:rPr>
          <w:rStyle w:val="FootnoteReference"/>
          <w:rFonts w:ascii="Times New Roman" w:eastAsia="Times New Roman" w:hAnsi="Times New Roman" w:cs="Times New Roman"/>
          <w:sz w:val="23"/>
          <w:szCs w:val="23"/>
        </w:rPr>
        <w:footnoteReference w:id="4"/>
      </w:r>
    </w:p>
    <w:p w14:paraId="41BC5ED2" w14:textId="77777777" w:rsidR="00DC03D3" w:rsidRDefault="00E76CFD">
      <w:pPr>
        <w:pStyle w:val="Default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>
        <w:rPr>
          <w:rStyle w:val="PageNumber"/>
          <w:rFonts w:ascii="Times New Roman" w:hAnsi="Times New Roman"/>
          <w:sz w:val="23"/>
          <w:szCs w:val="23"/>
        </w:rPr>
        <w:t>Una persona est</w:t>
      </w:r>
      <w:r>
        <w:rPr>
          <w:rStyle w:val="PageNumber"/>
          <w:rFonts w:ascii="Times New Roman" w:hAnsi="Times New Roman"/>
          <w:sz w:val="23"/>
          <w:szCs w:val="23"/>
        </w:rPr>
        <w:t xml:space="preserve">á </w:t>
      </w:r>
      <w:r>
        <w:rPr>
          <w:rStyle w:val="PageNumber"/>
          <w:rFonts w:ascii="Times New Roman" w:hAnsi="Times New Roman"/>
          <w:sz w:val="23"/>
          <w:szCs w:val="23"/>
        </w:rPr>
        <w:t>moralmente obligada a obedecer a su conciencia</w:t>
      </w:r>
      <w:r>
        <w:rPr>
          <w:rStyle w:val="FootnoteReference"/>
          <w:rFonts w:ascii="Times New Roman" w:eastAsia="Times New Roman" w:hAnsi="Times New Roman" w:cs="Times New Roman"/>
          <w:sz w:val="23"/>
          <w:szCs w:val="23"/>
        </w:rPr>
        <w:footnoteReference w:id="5"/>
      </w:r>
    </w:p>
    <w:p w14:paraId="728E65D8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16"/>
          <w:szCs w:val="16"/>
        </w:rPr>
      </w:pPr>
    </w:p>
    <w:p w14:paraId="5BE5FB37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 puede juzgar que es incorrecto recibir ciertas vacunas por una variedad de razones consistentes con estas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anzas, y no hay ninguna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anza autorizada de la Iglesia que obligue universalmente a los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licos a recibir ninguna vacuna. 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 puede invocar la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anza de la Iglesia para rechazar una vacuna que utiliz</w:t>
      </w:r>
      <w:r>
        <w:rPr>
          <w:rFonts w:ascii="Times New Roman" w:hAnsi="Times New Roman"/>
          <w:sz w:val="23"/>
          <w:szCs w:val="23"/>
        </w:rPr>
        <w:t xml:space="preserve">ó </w:t>
      </w:r>
      <w:r>
        <w:rPr>
          <w:rFonts w:ascii="Times New Roman" w:hAnsi="Times New Roman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neas celulares derivadas del aborto en cualquier etapa de la crea</w:t>
      </w:r>
      <w:r>
        <w:rPr>
          <w:rFonts w:ascii="Times New Roman" w:hAnsi="Times New Roman"/>
          <w:sz w:val="23"/>
          <w:szCs w:val="23"/>
        </w:rPr>
        <w:t>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de la vacuna. En t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rminos m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s generales, 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 podr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>a rechazar una vacuna bas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ndose en las ense</w:t>
      </w:r>
      <w:r>
        <w:rPr>
          <w:rFonts w:ascii="Times New Roman" w:hAnsi="Times New Roman"/>
          <w:sz w:val="23"/>
          <w:szCs w:val="23"/>
        </w:rPr>
        <w:t>ñ</w:t>
      </w:r>
      <w:r>
        <w:rPr>
          <w:rFonts w:ascii="Times New Roman" w:hAnsi="Times New Roman"/>
          <w:sz w:val="23"/>
          <w:szCs w:val="23"/>
        </w:rPr>
        <w:t>anzas de la Iglesia sobre la proporcionalidad terap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 xml:space="preserve">utica. La proporcionalidad </w:t>
      </w:r>
      <w:r>
        <w:rPr>
          <w:rFonts w:ascii="Times New Roman" w:hAnsi="Times New Roman"/>
          <w:sz w:val="23"/>
          <w:szCs w:val="23"/>
        </w:rPr>
        <w:lastRenderedPageBreak/>
        <w:t>terap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utica es una evaluaci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de si los beneficios de una intervenci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 m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dica superan los efectos secundarios y las cargas indeseables a la luz del bien integral de la persona, incluidos los bienes espirituales, psicol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gicos y corporales.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6"/>
      </w:r>
      <w:r>
        <w:rPr>
          <w:rFonts w:ascii="Times New Roman" w:hAnsi="Times New Roman"/>
          <w:sz w:val="23"/>
          <w:szCs w:val="23"/>
        </w:rPr>
        <w:t xml:space="preserve"> El juicio de proporcionalidad terap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utica debe ser realizado por la persona que es la</w:t>
      </w:r>
      <w:r>
        <w:rPr>
          <w:rFonts w:ascii="Times New Roman" w:hAnsi="Times New Roman"/>
          <w:sz w:val="23"/>
          <w:szCs w:val="23"/>
        </w:rPr>
        <w:t xml:space="preserve"> potencial receptora de la intervenci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n,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7"/>
      </w:r>
      <w:r>
        <w:rPr>
          <w:rFonts w:ascii="Times New Roman" w:hAnsi="Times New Roman"/>
          <w:sz w:val="23"/>
          <w:szCs w:val="23"/>
        </w:rPr>
        <w:t xml:space="preserve"> no por las autoridades de salud p</w:t>
      </w:r>
      <w:r>
        <w:rPr>
          <w:rFonts w:ascii="Times New Roman" w:hAnsi="Times New Roman"/>
          <w:sz w:val="23"/>
          <w:szCs w:val="23"/>
        </w:rPr>
        <w:t>ú</w:t>
      </w:r>
      <w:r>
        <w:rPr>
          <w:rFonts w:ascii="Times New Roman" w:hAnsi="Times New Roman"/>
          <w:sz w:val="23"/>
          <w:szCs w:val="23"/>
        </w:rPr>
        <w:t>blica o por otros individuos que podr</w:t>
      </w:r>
      <w:r>
        <w:rPr>
          <w:rFonts w:ascii="Times New Roman" w:hAnsi="Times New Roman"/>
          <w:sz w:val="23"/>
          <w:szCs w:val="23"/>
        </w:rPr>
        <w:t>í</w:t>
      </w:r>
      <w:r>
        <w:rPr>
          <w:rFonts w:ascii="Times New Roman" w:hAnsi="Times New Roman"/>
          <w:sz w:val="23"/>
          <w:szCs w:val="23"/>
        </w:rPr>
        <w:t xml:space="preserve">an juzgar de manera diferente en sus propias situaciones. </w:t>
      </w:r>
    </w:p>
    <w:p w14:paraId="20E34E9D" w14:textId="77777777" w:rsidR="00DC03D3" w:rsidRDefault="00DC03D3">
      <w:pPr>
        <w:pStyle w:val="Default"/>
        <w:rPr>
          <w:sz w:val="23"/>
          <w:szCs w:val="23"/>
        </w:rPr>
      </w:pPr>
    </w:p>
    <w:p w14:paraId="4B4BAA83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Los obispos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licos de Colorado lo han afirmado en dos cartas fechadas el 14 de</w:t>
      </w:r>
      <w:r>
        <w:rPr>
          <w:rFonts w:ascii="Times New Roman" w:hAnsi="Times New Roman"/>
          <w:sz w:val="23"/>
          <w:szCs w:val="23"/>
        </w:rPr>
        <w:t xml:space="preserve"> diciembre de 2020 y el 17 de marzo de 2021, en relaci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con las vacunas contra el COVID-19, afirmando:</w:t>
      </w:r>
    </w:p>
    <w:p w14:paraId="30D93663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180842CB" w14:textId="77777777" w:rsidR="00DC03D3" w:rsidRDefault="00E76CFD">
      <w:pPr>
        <w:pStyle w:val="Default"/>
        <w:ind w:left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“</w:t>
      </w:r>
      <w:r>
        <w:rPr>
          <w:rFonts w:ascii="Times New Roman" w:hAnsi="Times New Roman"/>
          <w:sz w:val="23"/>
          <w:szCs w:val="23"/>
        </w:rPr>
        <w:t>Los obispos de Colorado afirman que el uso de algunas vacunas contra el COVID-19 es moralmente aceptable bajo ciertas circunstancias... Adem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s, si las</w:t>
      </w:r>
      <w:r>
        <w:rPr>
          <w:rFonts w:ascii="Times New Roman" w:hAnsi="Times New Roman"/>
          <w:sz w:val="23"/>
          <w:szCs w:val="23"/>
        </w:rPr>
        <w:t xml:space="preserve"> personas tienen serias objeciones morales o preocupaciones de salud sobre cualquier vacuna, esas preocupaciones deben ser respetadas por la sociedad y el gobierno, y esas personas no deben ser forzadas a vacunarse, contrariamente a su conciencia. El gobie</w:t>
      </w:r>
      <w:r>
        <w:rPr>
          <w:rFonts w:ascii="Times New Roman" w:hAnsi="Times New Roman"/>
          <w:sz w:val="23"/>
          <w:szCs w:val="23"/>
        </w:rPr>
        <w:t>rno nunca debe imponer obligatoriamente las vacunas contra el COVID-19 a sus ciudadanos</w:t>
      </w:r>
      <w:r>
        <w:rPr>
          <w:rFonts w:ascii="Times New Roman" w:hAnsi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8"/>
      </w:r>
      <w:r>
        <w:rPr>
          <w:rFonts w:ascii="Times New Roman" w:hAnsi="Times New Roman"/>
          <w:sz w:val="23"/>
          <w:szCs w:val="23"/>
        </w:rPr>
        <w:t>.</w:t>
      </w:r>
    </w:p>
    <w:p w14:paraId="0FF71C86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160DEBB1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Adem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s, la cl</w:t>
      </w:r>
      <w:r>
        <w:rPr>
          <w:rFonts w:ascii="Times New Roman" w:hAnsi="Times New Roman"/>
          <w:sz w:val="23"/>
          <w:szCs w:val="23"/>
        </w:rPr>
        <w:t>á</w:t>
      </w:r>
      <w:r>
        <w:rPr>
          <w:rFonts w:ascii="Times New Roman" w:hAnsi="Times New Roman"/>
          <w:sz w:val="23"/>
          <w:szCs w:val="23"/>
        </w:rPr>
        <w:t>usula de libre ejercicio de la Primera Enmienda de la Constituci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n de </w:t>
      </w:r>
      <w:proofErr w:type="gramStart"/>
      <w:r>
        <w:rPr>
          <w:rFonts w:ascii="Times New Roman" w:hAnsi="Times New Roman"/>
          <w:sz w:val="23"/>
          <w:szCs w:val="23"/>
        </w:rPr>
        <w:t>EE.UU.</w:t>
      </w:r>
      <w:proofErr w:type="gramEnd"/>
      <w:r>
        <w:rPr>
          <w:rFonts w:ascii="Times New Roman" w:hAnsi="Times New Roman"/>
          <w:sz w:val="23"/>
          <w:szCs w:val="23"/>
        </w:rPr>
        <w:t xml:space="preserve"> exige que el Estado se adapte a las personas que se oponen a las </w:t>
      </w:r>
      <w:r>
        <w:rPr>
          <w:rFonts w:ascii="Times New Roman" w:hAnsi="Times New Roman"/>
          <w:sz w:val="23"/>
          <w:szCs w:val="23"/>
        </w:rPr>
        <w:t>vacunas por motivos religiosos. La neutralidad gubernamental tambi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n requiere la adaptaci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religiosa cuando el Estado ofrece exenciones seculares, como es el caso de Colorado para las exenciones m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dicas y no m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dicas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9"/>
      </w:r>
      <w:r>
        <w:rPr>
          <w:rFonts w:ascii="Times New Roman" w:hAnsi="Times New Roman"/>
          <w:sz w:val="23"/>
          <w:szCs w:val="23"/>
        </w:rPr>
        <w:t xml:space="preserve"> y las exenciones a trav</w:t>
      </w:r>
      <w:r>
        <w:rPr>
          <w:rFonts w:ascii="Times New Roman" w:hAnsi="Times New Roman"/>
          <w:sz w:val="23"/>
          <w:szCs w:val="23"/>
        </w:rPr>
        <w:t>é</w:t>
      </w:r>
      <w:r>
        <w:rPr>
          <w:rFonts w:ascii="Times New Roman" w:hAnsi="Times New Roman"/>
          <w:sz w:val="23"/>
          <w:szCs w:val="23"/>
        </w:rPr>
        <w:t>s de la Ley d</w:t>
      </w:r>
      <w:r>
        <w:rPr>
          <w:rFonts w:ascii="Times New Roman" w:hAnsi="Times New Roman"/>
          <w:sz w:val="23"/>
          <w:szCs w:val="23"/>
        </w:rPr>
        <w:t>e Estadounidenses con Discapacidades y la Ley de Derechos Civiles de 1964.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10"/>
      </w:r>
    </w:p>
    <w:p w14:paraId="2F17A2D1" w14:textId="77777777" w:rsidR="00DC03D3" w:rsidRDefault="00DC03D3">
      <w:pPr>
        <w:pStyle w:val="Default"/>
        <w:rPr>
          <w:sz w:val="23"/>
          <w:szCs w:val="23"/>
        </w:rPr>
      </w:pPr>
    </w:p>
    <w:p w14:paraId="38CE0AA3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La vacunaci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no es una obligaci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>n universal y cada persona debe obedecer a su propia conciencia. Por lo tanto, si un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lico llega a un juicio informado de que no debe </w:t>
      </w:r>
      <w:r>
        <w:rPr>
          <w:rFonts w:ascii="Times New Roman" w:hAnsi="Times New Roman"/>
          <w:sz w:val="23"/>
          <w:szCs w:val="23"/>
        </w:rPr>
        <w:t>recibir una vacuna, entonces la Iglesia cat</w:t>
      </w:r>
      <w:r>
        <w:rPr>
          <w:rFonts w:ascii="Times New Roman" w:hAnsi="Times New Roman"/>
          <w:sz w:val="23"/>
          <w:szCs w:val="23"/>
        </w:rPr>
        <w:t>ó</w:t>
      </w:r>
      <w:r>
        <w:rPr>
          <w:rFonts w:ascii="Times New Roman" w:hAnsi="Times New Roman"/>
          <w:sz w:val="23"/>
          <w:szCs w:val="23"/>
        </w:rPr>
        <w:t xml:space="preserve">lica requiere que la persona siga este juicio de conciencia y rechace la vacuna. El </w:t>
      </w:r>
      <w:r>
        <w:rPr>
          <w:rFonts w:ascii="Times New Roman" w:hAnsi="Times New Roman"/>
          <w:i/>
          <w:iCs/>
          <w:sz w:val="23"/>
          <w:szCs w:val="23"/>
        </w:rPr>
        <w:t xml:space="preserve">Catecismo </w:t>
      </w:r>
      <w:r>
        <w:rPr>
          <w:rFonts w:ascii="Times New Roman" w:hAnsi="Times New Roman"/>
          <w:sz w:val="23"/>
          <w:szCs w:val="23"/>
        </w:rPr>
        <w:t xml:space="preserve">es claro: </w:t>
      </w:r>
      <w:r>
        <w:rPr>
          <w:rFonts w:ascii="Times New Roman" w:hAnsi="Times New Roman"/>
          <w:sz w:val="23"/>
          <w:szCs w:val="23"/>
        </w:rPr>
        <w:t>“</w:t>
      </w:r>
      <w:r>
        <w:rPr>
          <w:rFonts w:ascii="Times New Roman" w:hAnsi="Times New Roman"/>
          <w:sz w:val="23"/>
          <w:szCs w:val="23"/>
        </w:rPr>
        <w:t>El hombre tiene el derecho de actuar en conciencia y en libertad a fin de tomar personalmente las decisione</w:t>
      </w:r>
      <w:r>
        <w:rPr>
          <w:rFonts w:ascii="Times New Roman" w:hAnsi="Times New Roman"/>
          <w:sz w:val="23"/>
          <w:szCs w:val="23"/>
        </w:rPr>
        <w:t xml:space="preserve">s morales. </w:t>
      </w:r>
      <w:r>
        <w:rPr>
          <w:rFonts w:ascii="Times New Roman" w:hAnsi="Times New Roman"/>
          <w:sz w:val="23"/>
          <w:szCs w:val="23"/>
        </w:rPr>
        <w:t>‘</w:t>
      </w:r>
      <w:r>
        <w:rPr>
          <w:rFonts w:ascii="Times New Roman" w:hAnsi="Times New Roman"/>
          <w:sz w:val="23"/>
          <w:szCs w:val="23"/>
        </w:rPr>
        <w:t>No debe ser obligado a actuar contra su conciencia. Ni se le debe impedir que act</w:t>
      </w:r>
      <w:r>
        <w:rPr>
          <w:rFonts w:ascii="Times New Roman" w:hAnsi="Times New Roman"/>
          <w:sz w:val="23"/>
          <w:szCs w:val="23"/>
        </w:rPr>
        <w:t>ú</w:t>
      </w:r>
      <w:r>
        <w:rPr>
          <w:rFonts w:ascii="Times New Roman" w:hAnsi="Times New Roman"/>
          <w:sz w:val="23"/>
          <w:szCs w:val="23"/>
        </w:rPr>
        <w:t>e seg</w:t>
      </w:r>
      <w:r>
        <w:rPr>
          <w:rFonts w:ascii="Times New Roman" w:hAnsi="Times New Roman"/>
          <w:sz w:val="23"/>
          <w:szCs w:val="23"/>
        </w:rPr>
        <w:t>ú</w:t>
      </w:r>
      <w:r>
        <w:rPr>
          <w:rFonts w:ascii="Times New Roman" w:hAnsi="Times New Roman"/>
          <w:sz w:val="23"/>
          <w:szCs w:val="23"/>
        </w:rPr>
        <w:t>n su conciencia, sobre todo en materia religiosa</w:t>
      </w:r>
      <w:r>
        <w:rPr>
          <w:rFonts w:ascii="Times New Roman" w:hAnsi="Times New Roman"/>
          <w:sz w:val="23"/>
          <w:szCs w:val="23"/>
        </w:rPr>
        <w:t>’”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erence w:id="11"/>
      </w:r>
    </w:p>
    <w:p w14:paraId="537AD978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2AF5AAA9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2DA0D59C" w14:textId="77777777" w:rsidR="00DC03D3" w:rsidRDefault="00E76CFD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Sinceramente, </w:t>
      </w:r>
    </w:p>
    <w:p w14:paraId="0E2F8EB4" w14:textId="77777777" w:rsidR="00DC03D3" w:rsidRDefault="00DC03D3">
      <w:pPr>
        <w:pStyle w:val="Default"/>
        <w:rPr>
          <w:rFonts w:ascii="Times New Roman" w:eastAsia="Times New Roman" w:hAnsi="Times New Roman" w:cs="Times New Roman"/>
          <w:sz w:val="23"/>
          <w:szCs w:val="23"/>
        </w:rPr>
      </w:pPr>
    </w:p>
    <w:p w14:paraId="51823860" w14:textId="77777777" w:rsidR="00DC03D3" w:rsidRDefault="00E76CFD">
      <w:pPr>
        <w:pStyle w:val="Default"/>
      </w:pPr>
      <w:r>
        <w:rPr>
          <w:rFonts w:ascii="Times New Roman" w:hAnsi="Times New Roman"/>
          <w:sz w:val="23"/>
          <w:szCs w:val="23"/>
          <w:shd w:val="clear" w:color="auto" w:fill="FFFF00"/>
        </w:rPr>
        <w:t>[Nombre y t</w:t>
      </w:r>
      <w:r>
        <w:rPr>
          <w:rFonts w:ascii="Times New Roman" w:hAnsi="Times New Roman"/>
          <w:sz w:val="23"/>
          <w:szCs w:val="23"/>
          <w:shd w:val="clear" w:color="auto" w:fill="FFFF00"/>
        </w:rPr>
        <w:t>í</w:t>
      </w:r>
      <w:r>
        <w:rPr>
          <w:rFonts w:ascii="Times New Roman" w:hAnsi="Times New Roman"/>
          <w:sz w:val="23"/>
          <w:szCs w:val="23"/>
          <w:shd w:val="clear" w:color="auto" w:fill="FFFF00"/>
        </w:rPr>
        <w:t>tulo del p</w:t>
      </w:r>
      <w:r>
        <w:rPr>
          <w:rFonts w:ascii="Times New Roman" w:hAnsi="Times New Roman"/>
          <w:sz w:val="23"/>
          <w:szCs w:val="23"/>
          <w:shd w:val="clear" w:color="auto" w:fill="FFFF00"/>
        </w:rPr>
        <w:t>á</w:t>
      </w:r>
      <w:r>
        <w:rPr>
          <w:rFonts w:ascii="Times New Roman" w:hAnsi="Times New Roman"/>
          <w:sz w:val="23"/>
          <w:szCs w:val="23"/>
          <w:shd w:val="clear" w:color="auto" w:fill="FFFF00"/>
        </w:rPr>
        <w:t>rroco]</w:t>
      </w:r>
      <w:r>
        <w:rPr>
          <w:rFonts w:ascii="Times New Roman" w:hAnsi="Times New Roman"/>
          <w:sz w:val="23"/>
          <w:szCs w:val="23"/>
        </w:rPr>
        <w:t xml:space="preserve"> </w:t>
      </w:r>
    </w:p>
    <w:sectPr w:rsidR="00DC03D3">
      <w:headerReference w:type="default" r:id="rId8"/>
      <w:footerReference w:type="default" r:id="rId9"/>
      <w:pgSz w:w="12240" w:h="15840"/>
      <w:pgMar w:top="1071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70BE" w14:textId="77777777" w:rsidR="00E76CFD" w:rsidRDefault="00E76CFD">
      <w:r>
        <w:separator/>
      </w:r>
    </w:p>
  </w:endnote>
  <w:endnote w:type="continuationSeparator" w:id="0">
    <w:p w14:paraId="645F456E" w14:textId="77777777" w:rsidR="00E76CFD" w:rsidRDefault="00E7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A7CC" w14:textId="77777777" w:rsidR="00DC03D3" w:rsidRDefault="00E76CFD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253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106B" w14:textId="77777777" w:rsidR="00E76CFD" w:rsidRDefault="00E76CFD">
      <w:r>
        <w:separator/>
      </w:r>
    </w:p>
  </w:footnote>
  <w:footnote w:type="continuationSeparator" w:id="0">
    <w:p w14:paraId="434E6BFE" w14:textId="77777777" w:rsidR="00E76CFD" w:rsidRDefault="00E76CFD">
      <w:r>
        <w:continuationSeparator/>
      </w:r>
    </w:p>
  </w:footnote>
  <w:footnote w:type="continuationNotice" w:id="1">
    <w:p w14:paraId="1CF459AF" w14:textId="77777777" w:rsidR="00E76CFD" w:rsidRDefault="00E76CFD"/>
  </w:footnote>
  <w:footnote w:id="2">
    <w:p w14:paraId="776ECDBF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Congregaci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n para la Doctrina de la Fe (CDF),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Nota sobre la moralidad del uso de algunas vacunas contra la Covid-19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 xml:space="preserve">, 17 de diciembre de 2020, n. 5: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Al mismo tiempo, es evidente para la raz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pr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ctica que la vacunaci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no es, por regla general, una obli</w:t>
      </w:r>
      <w:r>
        <w:rPr>
          <w:rFonts w:ascii="Times New Roman" w:hAnsi="Times New Roman"/>
          <w:sz w:val="16"/>
          <w:szCs w:val="16"/>
        </w:rPr>
        <w:t>gaci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moral y que, por lo tanto, la vacunaci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debe ser voluntaria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70D80422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V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 xml:space="preserve">ase Academia Pontificia para la Vida,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Reflexiones morales acerca de las vacunas preparadas a partir de c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lulas procedentes de fetos humanos abortados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, 9 de junio de 2005; Congregac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para la Doctrina de la Fe, Instrucci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n Dignitas </w:t>
      </w:r>
      <w:proofErr w:type="spellStart"/>
      <w:r>
        <w:rPr>
          <w:rFonts w:ascii="Times New Roman" w:hAnsi="Times New Roman"/>
          <w:sz w:val="16"/>
          <w:szCs w:val="16"/>
        </w:rPr>
        <w:t>personae</w:t>
      </w:r>
      <w:proofErr w:type="spellEnd"/>
      <w:r>
        <w:rPr>
          <w:rFonts w:ascii="Times New Roman" w:hAnsi="Times New Roman"/>
          <w:sz w:val="16"/>
          <w:szCs w:val="16"/>
        </w:rPr>
        <w:t xml:space="preserve">, 2008, </w:t>
      </w:r>
      <w:proofErr w:type="spellStart"/>
      <w:r>
        <w:rPr>
          <w:rFonts w:ascii="Times New Roman" w:hAnsi="Times New Roman"/>
          <w:sz w:val="16"/>
          <w:szCs w:val="16"/>
        </w:rPr>
        <w:t>nn</w:t>
      </w:r>
      <w:proofErr w:type="spellEnd"/>
      <w:r>
        <w:rPr>
          <w:rFonts w:ascii="Times New Roman" w:hAnsi="Times New Roman"/>
          <w:sz w:val="16"/>
          <w:szCs w:val="16"/>
        </w:rPr>
        <w:t>. 34-35; Congregaci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n para la Doctrina de la Fe,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Nota sobre la moralidad del uso de algunas vacunas contra la Covid-19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nn</w:t>
      </w:r>
      <w:proofErr w:type="spellEnd"/>
      <w:r>
        <w:rPr>
          <w:rFonts w:ascii="Times New Roman" w:hAnsi="Times New Roman"/>
          <w:sz w:val="16"/>
          <w:szCs w:val="16"/>
        </w:rPr>
        <w:t>. 1-3. Cuando hay una raz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suficientemente seria para usar el</w:t>
      </w:r>
      <w:r>
        <w:rPr>
          <w:rFonts w:ascii="Times New Roman" w:hAnsi="Times New Roman"/>
          <w:sz w:val="16"/>
          <w:szCs w:val="16"/>
        </w:rPr>
        <w:t xml:space="preserve"> producto y no hay ninguna alternativa razonable disponible, la Iglesia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lica ense</w:t>
      </w:r>
      <w:r>
        <w:rPr>
          <w:rFonts w:ascii="Times New Roman" w:hAnsi="Times New Roman"/>
          <w:sz w:val="16"/>
          <w:szCs w:val="16"/>
        </w:rPr>
        <w:t>ñ</w:t>
      </w:r>
      <w:r>
        <w:rPr>
          <w:rFonts w:ascii="Times New Roman" w:hAnsi="Times New Roman"/>
          <w:sz w:val="16"/>
          <w:szCs w:val="16"/>
        </w:rPr>
        <w:t>a que puede ser permisible usar el producto de origen inmoral bajo protesta. En cualquier caso, se utilice o no el producto, la Iglesia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lica ense</w:t>
      </w:r>
      <w:r>
        <w:rPr>
          <w:rFonts w:ascii="Times New Roman" w:hAnsi="Times New Roman"/>
          <w:sz w:val="16"/>
          <w:szCs w:val="16"/>
        </w:rPr>
        <w:t>ñ</w:t>
      </w:r>
      <w:r>
        <w:rPr>
          <w:rFonts w:ascii="Times New Roman" w:hAnsi="Times New Roman"/>
          <w:sz w:val="16"/>
          <w:szCs w:val="16"/>
        </w:rPr>
        <w:t>a que todos deben ma</w:t>
      </w:r>
      <w:r>
        <w:rPr>
          <w:rFonts w:ascii="Times New Roman" w:hAnsi="Times New Roman"/>
          <w:sz w:val="16"/>
          <w:szCs w:val="16"/>
        </w:rPr>
        <w:t>nifestar su desacuerdo y pedir que se desarrollen productos iguales o mejores utilizando material biol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gico que no provenga de abortos.</w:t>
      </w:r>
    </w:p>
  </w:footnote>
  <w:footnote w:id="4">
    <w:p w14:paraId="2A236DFC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V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ase Conferencia de Obispos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licos de los Estados Unidos (USCCB), </w:t>
      </w:r>
      <w:proofErr w:type="spellStart"/>
      <w:r>
        <w:rPr>
          <w:rFonts w:ascii="Times New Roman" w:hAnsi="Times New Roman"/>
          <w:sz w:val="16"/>
          <w:szCs w:val="16"/>
        </w:rPr>
        <w:t>Ethical</w:t>
      </w:r>
      <w:proofErr w:type="spellEnd"/>
      <w:r>
        <w:rPr>
          <w:rFonts w:ascii="Times New Roman" w:hAnsi="Times New Roman"/>
          <w:sz w:val="16"/>
          <w:szCs w:val="16"/>
        </w:rPr>
        <w:t xml:space="preserve"> and </w:t>
      </w:r>
      <w:proofErr w:type="spellStart"/>
      <w:r>
        <w:rPr>
          <w:rFonts w:ascii="Times New Roman" w:hAnsi="Times New Roman"/>
          <w:sz w:val="16"/>
          <w:szCs w:val="16"/>
        </w:rPr>
        <w:t>Religious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Directives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for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Catholic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He</w:t>
      </w:r>
      <w:r>
        <w:rPr>
          <w:rFonts w:ascii="Times New Roman" w:hAnsi="Times New Roman"/>
          <w:sz w:val="16"/>
          <w:szCs w:val="16"/>
        </w:rPr>
        <w:t>alth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Care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Services</w:t>
      </w:r>
      <w:proofErr w:type="spellEnd"/>
      <w:r>
        <w:rPr>
          <w:rFonts w:ascii="Times New Roman" w:hAnsi="Times New Roman"/>
          <w:sz w:val="16"/>
          <w:szCs w:val="16"/>
        </w:rPr>
        <w:t xml:space="preserve"> [Directivas 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ticas y religiosas para los servicios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licos de atenci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m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>dica], 6</w:t>
      </w:r>
      <w:r>
        <w:rPr>
          <w:rFonts w:ascii="Times New Roman" w:hAnsi="Times New Roman"/>
          <w:sz w:val="16"/>
          <w:szCs w:val="16"/>
        </w:rPr>
        <w:t xml:space="preserve">ª </w:t>
      </w:r>
      <w:r>
        <w:rPr>
          <w:rFonts w:ascii="Times New Roman" w:hAnsi="Times New Roman"/>
          <w:sz w:val="16"/>
          <w:szCs w:val="16"/>
        </w:rPr>
        <w:t xml:space="preserve">ed. (Washington, DC: USCCB Publishing, 2018), n. 28. En adelante,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DER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5">
    <w:p w14:paraId="2C3F2A19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 “</w:t>
      </w:r>
      <w:r>
        <w:rPr>
          <w:rFonts w:ascii="Times New Roman" w:hAnsi="Times New Roman"/>
          <w:sz w:val="16"/>
          <w:szCs w:val="16"/>
        </w:rPr>
        <w:t xml:space="preserve">La persona humana debe obedecer siempre el juicio cierto de su conciencia. </w:t>
      </w:r>
      <w:r>
        <w:rPr>
          <w:rFonts w:ascii="Times New Roman" w:hAnsi="Times New Roman"/>
          <w:sz w:val="16"/>
          <w:szCs w:val="16"/>
        </w:rPr>
        <w:t xml:space="preserve">Si obrase deliberadamente contra este </w:t>
      </w:r>
      <w:r>
        <w:rPr>
          <w:rFonts w:ascii="Times New Roman" w:hAnsi="Times New Roman"/>
          <w:sz w:val="16"/>
          <w:szCs w:val="16"/>
        </w:rPr>
        <w:t>ú</w:t>
      </w:r>
      <w:r>
        <w:rPr>
          <w:rFonts w:ascii="Times New Roman" w:hAnsi="Times New Roman"/>
          <w:sz w:val="16"/>
          <w:szCs w:val="16"/>
        </w:rPr>
        <w:t>ltimo, se condenar</w:t>
      </w:r>
      <w:r>
        <w:rPr>
          <w:rFonts w:ascii="Times New Roman" w:hAnsi="Times New Roman"/>
          <w:sz w:val="16"/>
          <w:szCs w:val="16"/>
        </w:rPr>
        <w:t>í</w:t>
      </w:r>
      <w:r>
        <w:rPr>
          <w:rFonts w:ascii="Times New Roman" w:hAnsi="Times New Roman"/>
          <w:sz w:val="16"/>
          <w:szCs w:val="16"/>
        </w:rPr>
        <w:t>a a s</w:t>
      </w:r>
      <w:r>
        <w:rPr>
          <w:rFonts w:ascii="Times New Roman" w:hAnsi="Times New Roman"/>
          <w:sz w:val="16"/>
          <w:szCs w:val="16"/>
        </w:rPr>
        <w:t xml:space="preserve">í </w:t>
      </w:r>
      <w:r>
        <w:rPr>
          <w:rFonts w:ascii="Times New Roman" w:hAnsi="Times New Roman"/>
          <w:sz w:val="16"/>
          <w:szCs w:val="16"/>
        </w:rPr>
        <w:t>mismo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. Catecismo de la Iglesia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 xml:space="preserve">lica (Ciudad del Vaticano: </w:t>
      </w:r>
      <w:proofErr w:type="spellStart"/>
      <w:r>
        <w:rPr>
          <w:rFonts w:ascii="Times New Roman" w:hAnsi="Times New Roman"/>
          <w:sz w:val="16"/>
          <w:szCs w:val="16"/>
        </w:rPr>
        <w:t>Libreria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Editrice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Vaticana</w:t>
      </w:r>
      <w:proofErr w:type="gramEnd"/>
      <w:r>
        <w:rPr>
          <w:rFonts w:ascii="Times New Roman" w:hAnsi="Times New Roman"/>
          <w:sz w:val="16"/>
          <w:szCs w:val="16"/>
        </w:rPr>
        <w:t xml:space="preserve">, 1993), www.vatican.va, n. 1790. En adelante,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CIC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6">
    <w:p w14:paraId="0E3EDAD9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V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 xml:space="preserve">ase DER, </w:t>
      </w:r>
      <w:proofErr w:type="spellStart"/>
      <w:r>
        <w:rPr>
          <w:rFonts w:ascii="Times New Roman" w:hAnsi="Times New Roman"/>
          <w:sz w:val="16"/>
          <w:szCs w:val="16"/>
        </w:rPr>
        <w:t>nn</w:t>
      </w:r>
      <w:proofErr w:type="spellEnd"/>
      <w:r>
        <w:rPr>
          <w:rFonts w:ascii="Times New Roman" w:hAnsi="Times New Roman"/>
          <w:sz w:val="16"/>
          <w:szCs w:val="16"/>
        </w:rPr>
        <w:t xml:space="preserve">. 32-33; </w:t>
      </w:r>
      <w:proofErr w:type="spellStart"/>
      <w:r>
        <w:rPr>
          <w:rFonts w:ascii="Times New Roman" w:hAnsi="Times New Roman"/>
          <w:sz w:val="16"/>
          <w:szCs w:val="16"/>
        </w:rPr>
        <w:t>nn</w:t>
      </w:r>
      <w:proofErr w:type="spellEnd"/>
      <w:r>
        <w:rPr>
          <w:rFonts w:ascii="Times New Roman" w:hAnsi="Times New Roman"/>
          <w:sz w:val="16"/>
          <w:szCs w:val="16"/>
        </w:rPr>
        <w:t>. 56-57; Tercera parte, Introducci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n, p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rrafo 2; Quinta parte, Introducci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n, p</w:t>
      </w:r>
      <w:r>
        <w:rPr>
          <w:rFonts w:ascii="Times New Roman" w:hAnsi="Times New Roman"/>
          <w:sz w:val="16"/>
          <w:szCs w:val="16"/>
        </w:rPr>
        <w:t>á</w:t>
      </w:r>
      <w:r>
        <w:rPr>
          <w:rFonts w:ascii="Times New Roman" w:hAnsi="Times New Roman"/>
          <w:sz w:val="16"/>
          <w:szCs w:val="16"/>
        </w:rPr>
        <w:t>rrafo 3.</w:t>
      </w:r>
    </w:p>
  </w:footnote>
  <w:footnote w:id="7">
    <w:p w14:paraId="1C5E818A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V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 xml:space="preserve">ase DER, </w:t>
      </w:r>
      <w:proofErr w:type="spellStart"/>
      <w:r>
        <w:rPr>
          <w:rFonts w:ascii="Times New Roman" w:hAnsi="Times New Roman"/>
          <w:sz w:val="16"/>
          <w:szCs w:val="16"/>
        </w:rPr>
        <w:t>nn</w:t>
      </w:r>
      <w:proofErr w:type="spellEnd"/>
      <w:r>
        <w:rPr>
          <w:rFonts w:ascii="Times New Roman" w:hAnsi="Times New Roman"/>
          <w:sz w:val="16"/>
          <w:szCs w:val="16"/>
        </w:rPr>
        <w:t>. 56-57. Ambas direc</w:t>
      </w:r>
      <w:r>
        <w:rPr>
          <w:rFonts w:ascii="Times New Roman" w:hAnsi="Times New Roman"/>
          <w:sz w:val="16"/>
          <w:szCs w:val="16"/>
        </w:rPr>
        <w:t>tivas establecen que la proporcionalidad de las intervenciones m</w:t>
      </w:r>
      <w:r>
        <w:rPr>
          <w:rFonts w:ascii="Times New Roman" w:hAnsi="Times New Roman"/>
          <w:sz w:val="16"/>
          <w:szCs w:val="16"/>
        </w:rPr>
        <w:t>é</w:t>
      </w:r>
      <w:r>
        <w:rPr>
          <w:rFonts w:ascii="Times New Roman" w:hAnsi="Times New Roman"/>
          <w:sz w:val="16"/>
          <w:szCs w:val="16"/>
        </w:rPr>
        <w:t xml:space="preserve">dicas se establece </w:t>
      </w:r>
      <w:r>
        <w:rPr>
          <w:rFonts w:ascii="Times New Roman" w:hAnsi="Times New Roman"/>
          <w:sz w:val="16"/>
          <w:szCs w:val="16"/>
        </w:rPr>
        <w:t>“</w:t>
      </w:r>
      <w:r>
        <w:rPr>
          <w:rFonts w:ascii="Times New Roman" w:hAnsi="Times New Roman"/>
          <w:sz w:val="16"/>
          <w:szCs w:val="16"/>
        </w:rPr>
        <w:t>a juicio del paciente</w:t>
      </w:r>
      <w:r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8">
    <w:p w14:paraId="709C4247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Carta de los obispos de Colorado a los fieles sobre las vacunas Covid-19.</w:t>
      </w:r>
      <w:r>
        <w:rPr>
          <w:rFonts w:ascii="Times New Roman" w:hAnsi="Times New Roman"/>
          <w:sz w:val="16"/>
          <w:szCs w:val="16"/>
        </w:rPr>
        <w:t xml:space="preserve"> Conferencia Cat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lica de Colorado. (2020, 15 de diciembre). https://coca</w:t>
      </w:r>
      <w:r>
        <w:rPr>
          <w:rFonts w:ascii="Times New Roman" w:hAnsi="Times New Roman"/>
          <w:sz w:val="16"/>
          <w:szCs w:val="16"/>
        </w:rPr>
        <w:t>tholicconference.org/a-letter-to-the-faithful-from-the-colorado-bishops-on-covid-19-vaccines/.</w:t>
      </w:r>
    </w:p>
  </w:footnote>
  <w:footnote w:id="9">
    <w:p w14:paraId="35A79202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Exenciones de vacunas.</w:t>
      </w:r>
      <w:r>
        <w:rPr>
          <w:rFonts w:ascii="Times New Roman" w:hAnsi="Times New Roman"/>
          <w:sz w:val="16"/>
          <w:szCs w:val="16"/>
        </w:rPr>
        <w:t xml:space="preserve"> Departamento de Salud P</w:t>
      </w:r>
      <w:r>
        <w:rPr>
          <w:rFonts w:ascii="Times New Roman" w:hAnsi="Times New Roman"/>
          <w:sz w:val="16"/>
          <w:szCs w:val="16"/>
        </w:rPr>
        <w:t>ú</w:t>
      </w:r>
      <w:r>
        <w:rPr>
          <w:rFonts w:ascii="Times New Roman" w:hAnsi="Times New Roman"/>
          <w:sz w:val="16"/>
          <w:szCs w:val="16"/>
        </w:rPr>
        <w:t>blica y Medio Ambiente. https://cdphe.colorado.gov/vaccine-exemptions.</w:t>
      </w:r>
    </w:p>
  </w:footnote>
  <w:footnote w:id="10">
    <w:p w14:paraId="78992613" w14:textId="77777777" w:rsidR="00DC03D3" w:rsidRDefault="00E76CFD">
      <w:pPr>
        <w:pStyle w:val="FootnoteText"/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La preparaci</w:t>
      </w:r>
      <w:r>
        <w:rPr>
          <w:rFonts w:ascii="Times New Roman" w:hAnsi="Times New Roman"/>
          <w:i/>
          <w:iCs/>
          <w:sz w:val="16"/>
          <w:szCs w:val="16"/>
        </w:rPr>
        <w:t>ó</w:t>
      </w:r>
      <w:r>
        <w:rPr>
          <w:rFonts w:ascii="Times New Roman" w:hAnsi="Times New Roman"/>
          <w:i/>
          <w:iCs/>
          <w:sz w:val="16"/>
          <w:szCs w:val="16"/>
        </w:rPr>
        <w:t xml:space="preserve">n para una </w:t>
      </w:r>
      <w:r>
        <w:rPr>
          <w:rFonts w:ascii="Times New Roman" w:hAnsi="Times New Roman"/>
          <w:i/>
          <w:iCs/>
          <w:sz w:val="16"/>
          <w:szCs w:val="16"/>
        </w:rPr>
        <w:t>pandemia en el lugar de trabajo y la Ley de Estadounidenses con Discapacidades.</w:t>
      </w:r>
      <w:r>
        <w:rPr>
          <w:rFonts w:ascii="Times New Roman" w:hAnsi="Times New Roman"/>
          <w:sz w:val="16"/>
          <w:szCs w:val="16"/>
        </w:rPr>
        <w:t xml:space="preserve"> Comisi</w:t>
      </w:r>
      <w:r>
        <w:rPr>
          <w:rFonts w:ascii="Times New Roman" w:hAnsi="Times New Roman"/>
          <w:sz w:val="16"/>
          <w:szCs w:val="16"/>
        </w:rPr>
        <w:t>ó</w:t>
      </w:r>
      <w:r>
        <w:rPr>
          <w:rFonts w:ascii="Times New Roman" w:hAnsi="Times New Roman"/>
          <w:sz w:val="16"/>
          <w:szCs w:val="16"/>
        </w:rPr>
        <w:t>n de Igualdad de Oportunidades en el Empleo de los Estados Unidos. https://www.eeoc.gov/laws/guidance/pandemic-preparedness-workplace-and-americans-disabilities-act.</w:t>
      </w:r>
      <w:r>
        <w:rPr>
          <w:rStyle w:val="PageNumber"/>
          <w:rFonts w:eastAsia="Arial Unicode MS" w:cs="Arial Unicode MS"/>
        </w:rPr>
        <w:t xml:space="preserve">  </w:t>
      </w:r>
    </w:p>
  </w:footnote>
  <w:footnote w:id="11">
    <w:p w14:paraId="26568E75" w14:textId="77777777" w:rsidR="00DC03D3" w:rsidRDefault="00E76CFD">
      <w:pPr>
        <w:pStyle w:val="FootnoteTex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 xml:space="preserve"> CIC, n. 1782, citando el Concilio Vaticano II, </w:t>
      </w:r>
      <w:proofErr w:type="spellStart"/>
      <w:r>
        <w:rPr>
          <w:rFonts w:ascii="Times New Roman" w:hAnsi="Times New Roman"/>
          <w:sz w:val="16"/>
          <w:szCs w:val="16"/>
        </w:rPr>
        <w:t>Dignitatis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humanae</w:t>
      </w:r>
      <w:proofErr w:type="spellEnd"/>
      <w:r>
        <w:rPr>
          <w:rFonts w:ascii="Times New Roman" w:hAnsi="Times New Roman"/>
          <w:sz w:val="16"/>
          <w:szCs w:val="16"/>
        </w:rPr>
        <w:t xml:space="preserve">, 7 de diciembre de 1965, n. 3. </w:t>
      </w:r>
    </w:p>
    <w:p w14:paraId="61A3D32D" w14:textId="77777777" w:rsidR="00DC03D3" w:rsidRDefault="00E76CFD">
      <w:pPr>
        <w:pStyle w:val="FootnoteText"/>
      </w:pPr>
      <w:r>
        <w:rPr>
          <w:rFonts w:ascii="Times New Roman" w:hAnsi="Times New Roman"/>
          <w:sz w:val="16"/>
          <w:szCs w:val="16"/>
        </w:rPr>
        <w:t>NOTAS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730F" w14:textId="77777777" w:rsidR="00DC03D3" w:rsidRDefault="00DC03D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944"/>
    <w:multiLevelType w:val="hybridMultilevel"/>
    <w:tmpl w:val="0126698E"/>
    <w:styleLink w:val="ImportedStyle1"/>
    <w:lvl w:ilvl="0" w:tplc="DE6C74D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0C3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016E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609A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6B1B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C5CD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AD1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217E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0347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BD3AEF"/>
    <w:multiLevelType w:val="hybridMultilevel"/>
    <w:tmpl w:val="0126698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D3"/>
    <w:rsid w:val="00A253AA"/>
    <w:rsid w:val="00DC03D3"/>
    <w:rsid w:val="00E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270BF"/>
  <w15:docId w15:val="{D15463D6-9B26-E84F-B175-7B684F5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s-ES_tradnl"/>
    </w:rPr>
  </w:style>
  <w:style w:type="character" w:styleId="PageNumber">
    <w:name w:val="page number"/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mbria" w:eastAsia="Cambria" w:hAnsi="Cambria" w:cs="Cambria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Finegan</cp:lastModifiedBy>
  <cp:revision>2</cp:revision>
  <dcterms:created xsi:type="dcterms:W3CDTF">2021-08-06T16:27:00Z</dcterms:created>
  <dcterms:modified xsi:type="dcterms:W3CDTF">2021-08-06T16:27:00Z</dcterms:modified>
</cp:coreProperties>
</file>